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EC9" w:rsidRPr="009E7D78" w:rsidRDefault="00761EC9" w:rsidP="00761EC9">
      <w:pPr>
        <w:pStyle w:val="NoParagraphStyle1"/>
        <w:spacing w:after="340"/>
        <w:rPr>
          <w:color w:val="000000"/>
          <w:sz w:val="32"/>
          <w:szCs w:val="32"/>
        </w:rPr>
      </w:pPr>
      <w:r w:rsidRPr="009E7D78">
        <w:rPr>
          <w:b/>
          <w:bCs/>
          <w:color w:val="000000"/>
          <w:sz w:val="32"/>
          <w:szCs w:val="32"/>
        </w:rPr>
        <w:t>Gedling Borough Council Designation of an Area for Sele</w:t>
      </w:r>
      <w:r>
        <w:rPr>
          <w:b/>
          <w:bCs/>
          <w:color w:val="000000"/>
          <w:sz w:val="32"/>
          <w:szCs w:val="32"/>
        </w:rPr>
        <w:t xml:space="preserve">ctive Licensing Phase 2, Carlton Hill, </w:t>
      </w:r>
      <w:proofErr w:type="spellStart"/>
      <w:r>
        <w:rPr>
          <w:b/>
          <w:bCs/>
          <w:color w:val="000000"/>
          <w:sz w:val="32"/>
          <w:szCs w:val="32"/>
        </w:rPr>
        <w:t>Colwick</w:t>
      </w:r>
      <w:proofErr w:type="spellEnd"/>
      <w:r>
        <w:rPr>
          <w:b/>
          <w:bCs/>
          <w:color w:val="000000"/>
          <w:sz w:val="32"/>
          <w:szCs w:val="32"/>
        </w:rPr>
        <w:t xml:space="preserve">, </w:t>
      </w:r>
      <w:proofErr w:type="spellStart"/>
      <w:r>
        <w:rPr>
          <w:b/>
          <w:bCs/>
          <w:color w:val="000000"/>
          <w:sz w:val="32"/>
          <w:szCs w:val="32"/>
        </w:rPr>
        <w:t>Daybrook</w:t>
      </w:r>
      <w:proofErr w:type="spellEnd"/>
      <w:r>
        <w:rPr>
          <w:b/>
          <w:bCs/>
          <w:color w:val="000000"/>
          <w:sz w:val="32"/>
          <w:szCs w:val="32"/>
        </w:rPr>
        <w:t>, Newstead Village 2022</w:t>
      </w:r>
      <w:r w:rsidRPr="009E7D78">
        <w:rPr>
          <w:b/>
          <w:bCs/>
          <w:color w:val="000000"/>
          <w:sz w:val="32"/>
          <w:szCs w:val="32"/>
        </w:rPr>
        <w:t xml:space="preserve">. </w:t>
      </w:r>
    </w:p>
    <w:p w:rsidR="00761EC9" w:rsidRPr="009E7D78" w:rsidRDefault="00761EC9" w:rsidP="00761EC9">
      <w:pPr>
        <w:pStyle w:val="NoParagraphStyle1"/>
        <w:spacing w:after="340"/>
        <w:rPr>
          <w:color w:val="000000"/>
        </w:rPr>
      </w:pPr>
      <w:r w:rsidRPr="009E7D78">
        <w:rPr>
          <w:color w:val="000000"/>
        </w:rPr>
        <w:t xml:space="preserve">Gedling Borough Council in exercise of their powers under section 80 of the Housing Act 2004 (“the Act”) hereby designates for selective licensing the area described in paragraph 4. </w:t>
      </w:r>
    </w:p>
    <w:p w:rsidR="00761EC9" w:rsidRPr="009E7D78" w:rsidRDefault="00761EC9" w:rsidP="00761EC9">
      <w:pPr>
        <w:pStyle w:val="3Level2subhead"/>
        <w:spacing w:before="100" w:after="160"/>
        <w:rPr>
          <w:color w:val="000000"/>
          <w:sz w:val="30"/>
          <w:szCs w:val="30"/>
        </w:rPr>
      </w:pPr>
      <w:r w:rsidRPr="009E7D78">
        <w:rPr>
          <w:color w:val="000000"/>
          <w:sz w:val="30"/>
          <w:szCs w:val="30"/>
        </w:rPr>
        <w:t xml:space="preserve">CITATION, COMMENCEMENT AND DURATION </w:t>
      </w:r>
    </w:p>
    <w:p w:rsidR="00761EC9" w:rsidRPr="009E7D78" w:rsidRDefault="00761EC9" w:rsidP="00761EC9">
      <w:pPr>
        <w:pStyle w:val="NoParagraphStyle1"/>
        <w:spacing w:after="340"/>
        <w:rPr>
          <w:color w:val="000000"/>
          <w:sz w:val="32"/>
          <w:szCs w:val="32"/>
        </w:rPr>
      </w:pPr>
      <w:r w:rsidRPr="009E7D78">
        <w:rPr>
          <w:sz w:val="23"/>
          <w:szCs w:val="23"/>
        </w:rPr>
        <w:t xml:space="preserve">1. This </w:t>
      </w:r>
      <w:r>
        <w:rPr>
          <w:sz w:val="23"/>
          <w:szCs w:val="23"/>
        </w:rPr>
        <w:t xml:space="preserve">designation may be cited as </w:t>
      </w:r>
      <w:r w:rsidRPr="009E7D78">
        <w:rPr>
          <w:sz w:val="23"/>
          <w:szCs w:val="23"/>
        </w:rPr>
        <w:t xml:space="preserve">Gedling Borough Council Designation for an Area for Selective Licensing – </w:t>
      </w:r>
      <w:r w:rsidRPr="00761EC9">
        <w:rPr>
          <w:bCs/>
          <w:color w:val="000000"/>
        </w:rPr>
        <w:t xml:space="preserve">Phase 2, Carlton Hill, </w:t>
      </w:r>
      <w:proofErr w:type="spellStart"/>
      <w:r w:rsidRPr="00761EC9">
        <w:rPr>
          <w:bCs/>
          <w:color w:val="000000"/>
        </w:rPr>
        <w:t>Colwick</w:t>
      </w:r>
      <w:proofErr w:type="spellEnd"/>
      <w:r w:rsidRPr="00761EC9">
        <w:rPr>
          <w:bCs/>
          <w:color w:val="000000"/>
        </w:rPr>
        <w:t xml:space="preserve">, </w:t>
      </w:r>
      <w:proofErr w:type="spellStart"/>
      <w:r w:rsidRPr="00761EC9">
        <w:rPr>
          <w:bCs/>
          <w:color w:val="000000"/>
        </w:rPr>
        <w:t>Daybrook</w:t>
      </w:r>
      <w:proofErr w:type="spellEnd"/>
      <w:r w:rsidRPr="00761EC9">
        <w:rPr>
          <w:bCs/>
          <w:color w:val="000000"/>
        </w:rPr>
        <w:t xml:space="preserve">, </w:t>
      </w:r>
      <w:proofErr w:type="gramStart"/>
      <w:r w:rsidRPr="00761EC9">
        <w:rPr>
          <w:bCs/>
          <w:color w:val="000000"/>
        </w:rPr>
        <w:t>Newstead</w:t>
      </w:r>
      <w:proofErr w:type="gramEnd"/>
      <w:r w:rsidRPr="00761EC9">
        <w:rPr>
          <w:bCs/>
          <w:color w:val="000000"/>
        </w:rPr>
        <w:t xml:space="preserve"> Village 2022. </w:t>
      </w:r>
    </w:p>
    <w:p w:rsidR="00761EC9" w:rsidRPr="009E7D78" w:rsidRDefault="00761EC9" w:rsidP="00761EC9">
      <w:pPr>
        <w:pStyle w:val="NoParagraphStyle1"/>
        <w:spacing w:after="340"/>
        <w:rPr>
          <w:color w:val="000000"/>
          <w:sz w:val="23"/>
          <w:szCs w:val="23"/>
        </w:rPr>
      </w:pPr>
      <w:r w:rsidRPr="009E7D78">
        <w:rPr>
          <w:color w:val="000000"/>
          <w:sz w:val="23"/>
          <w:szCs w:val="23"/>
        </w:rPr>
        <w:t>2.</w:t>
      </w:r>
      <w:r w:rsidR="00CB7FB3">
        <w:rPr>
          <w:color w:val="000000"/>
          <w:sz w:val="23"/>
          <w:szCs w:val="23"/>
        </w:rPr>
        <w:t xml:space="preserve"> This designation is made on 6</w:t>
      </w:r>
      <w:r w:rsidRPr="009E7D78">
        <w:rPr>
          <w:color w:val="000000"/>
          <w:sz w:val="23"/>
          <w:szCs w:val="23"/>
          <w:vertAlign w:val="superscript"/>
        </w:rPr>
        <w:t>th</w:t>
      </w:r>
      <w:r>
        <w:rPr>
          <w:color w:val="000000"/>
          <w:sz w:val="23"/>
          <w:szCs w:val="23"/>
        </w:rPr>
        <w:t xml:space="preserve"> July 2022</w:t>
      </w:r>
      <w:r w:rsidRPr="009E7D78">
        <w:rPr>
          <w:color w:val="000000"/>
          <w:sz w:val="23"/>
          <w:szCs w:val="23"/>
        </w:rPr>
        <w:t xml:space="preserve"> and shall come into force on </w:t>
      </w:r>
      <w:r w:rsidRPr="009E7D78">
        <w:rPr>
          <w:b/>
          <w:bCs/>
          <w:iCs/>
          <w:color w:val="000000"/>
          <w:sz w:val="23"/>
          <w:szCs w:val="23"/>
        </w:rPr>
        <w:t>1</w:t>
      </w:r>
      <w:r w:rsidRPr="009E7D78">
        <w:rPr>
          <w:b/>
          <w:bCs/>
          <w:iCs/>
          <w:color w:val="000000"/>
          <w:sz w:val="23"/>
          <w:szCs w:val="23"/>
          <w:vertAlign w:val="superscript"/>
        </w:rPr>
        <w:t>st</w:t>
      </w:r>
      <w:r w:rsidR="00CB7FB3">
        <w:rPr>
          <w:b/>
          <w:bCs/>
          <w:iCs/>
          <w:color w:val="000000"/>
          <w:sz w:val="23"/>
          <w:szCs w:val="23"/>
        </w:rPr>
        <w:t xml:space="preserve"> Novem</w:t>
      </w:r>
      <w:r>
        <w:rPr>
          <w:b/>
          <w:bCs/>
          <w:iCs/>
          <w:color w:val="000000"/>
          <w:sz w:val="23"/>
          <w:szCs w:val="23"/>
        </w:rPr>
        <w:t>ber 2022</w:t>
      </w:r>
      <w:r w:rsidRPr="009E7D78">
        <w:rPr>
          <w:color w:val="000000"/>
          <w:sz w:val="23"/>
          <w:szCs w:val="23"/>
        </w:rPr>
        <w:t xml:space="preserve"> </w:t>
      </w:r>
    </w:p>
    <w:p w:rsidR="00761EC9" w:rsidRPr="009E7D78" w:rsidRDefault="00761EC9" w:rsidP="00761EC9">
      <w:pPr>
        <w:pStyle w:val="NoParagraphStyle1"/>
        <w:spacing w:after="340"/>
        <w:rPr>
          <w:color w:val="000000"/>
          <w:sz w:val="23"/>
          <w:szCs w:val="23"/>
        </w:rPr>
      </w:pPr>
      <w:r w:rsidRPr="009E7D78">
        <w:rPr>
          <w:color w:val="000000"/>
          <w:sz w:val="23"/>
          <w:szCs w:val="23"/>
        </w:rPr>
        <w:t xml:space="preserve">3. This designation shall cease to have effect on </w:t>
      </w:r>
      <w:r w:rsidR="00CB7FB3">
        <w:rPr>
          <w:b/>
          <w:bCs/>
          <w:iCs/>
          <w:color w:val="000000"/>
          <w:sz w:val="23"/>
          <w:szCs w:val="23"/>
        </w:rPr>
        <w:t>30th Octo</w:t>
      </w:r>
      <w:r>
        <w:rPr>
          <w:b/>
          <w:bCs/>
          <w:iCs/>
          <w:color w:val="000000"/>
          <w:sz w:val="23"/>
          <w:szCs w:val="23"/>
        </w:rPr>
        <w:t>ber 2027</w:t>
      </w:r>
      <w:r w:rsidRPr="009E7D78">
        <w:rPr>
          <w:b/>
          <w:bCs/>
          <w:i/>
          <w:iCs/>
          <w:color w:val="000000"/>
          <w:sz w:val="23"/>
          <w:szCs w:val="23"/>
        </w:rPr>
        <w:t xml:space="preserve"> </w:t>
      </w:r>
      <w:r w:rsidRPr="009E7D78">
        <w:rPr>
          <w:color w:val="000000"/>
          <w:sz w:val="23"/>
          <w:szCs w:val="23"/>
        </w:rPr>
        <w:t xml:space="preserve">or earlier if the Council revokes the scheme under section 84 of the Act. </w:t>
      </w:r>
    </w:p>
    <w:p w:rsidR="00761EC9" w:rsidRPr="009E7D78" w:rsidRDefault="00761EC9" w:rsidP="00761EC9">
      <w:pPr>
        <w:pStyle w:val="3Level2subhead"/>
        <w:spacing w:before="100" w:after="160"/>
        <w:rPr>
          <w:color w:val="000000"/>
          <w:sz w:val="30"/>
          <w:szCs w:val="30"/>
        </w:rPr>
      </w:pPr>
      <w:r w:rsidRPr="009E7D78">
        <w:rPr>
          <w:color w:val="000000"/>
          <w:sz w:val="30"/>
          <w:szCs w:val="30"/>
        </w:rPr>
        <w:t xml:space="preserve">AREA TO WHICH THE DESIGNATION APPLIES </w:t>
      </w:r>
    </w:p>
    <w:p w:rsidR="00761EC9" w:rsidRPr="009E7D78" w:rsidRDefault="00761EC9" w:rsidP="00761EC9">
      <w:pPr>
        <w:pStyle w:val="NoParagraphStyle1"/>
        <w:spacing w:after="340"/>
        <w:rPr>
          <w:color w:val="000000"/>
          <w:sz w:val="23"/>
          <w:szCs w:val="23"/>
        </w:rPr>
      </w:pPr>
      <w:r w:rsidRPr="009E7D78">
        <w:rPr>
          <w:color w:val="000000"/>
          <w:sz w:val="23"/>
          <w:szCs w:val="23"/>
        </w:rPr>
        <w:t xml:space="preserve">4. This designation shall apply to </w:t>
      </w:r>
      <w:r>
        <w:rPr>
          <w:b/>
          <w:bCs/>
          <w:iCs/>
          <w:color w:val="000000"/>
          <w:sz w:val="23"/>
          <w:szCs w:val="23"/>
        </w:rPr>
        <w:t xml:space="preserve">the residential area of Carlton Hill, </w:t>
      </w:r>
      <w:proofErr w:type="spellStart"/>
      <w:r>
        <w:rPr>
          <w:b/>
          <w:bCs/>
          <w:iCs/>
          <w:color w:val="000000"/>
          <w:sz w:val="23"/>
          <w:szCs w:val="23"/>
        </w:rPr>
        <w:t>Colwick</w:t>
      </w:r>
      <w:proofErr w:type="spellEnd"/>
      <w:r>
        <w:rPr>
          <w:b/>
          <w:bCs/>
          <w:iCs/>
          <w:color w:val="000000"/>
          <w:sz w:val="23"/>
          <w:szCs w:val="23"/>
        </w:rPr>
        <w:t xml:space="preserve">, </w:t>
      </w:r>
      <w:proofErr w:type="spellStart"/>
      <w:r>
        <w:rPr>
          <w:b/>
          <w:bCs/>
          <w:iCs/>
          <w:color w:val="000000"/>
          <w:sz w:val="23"/>
          <w:szCs w:val="23"/>
        </w:rPr>
        <w:t>Daybrook</w:t>
      </w:r>
      <w:proofErr w:type="spellEnd"/>
      <w:r>
        <w:rPr>
          <w:b/>
          <w:bCs/>
          <w:iCs/>
          <w:color w:val="000000"/>
          <w:sz w:val="23"/>
          <w:szCs w:val="23"/>
        </w:rPr>
        <w:t xml:space="preserve"> and Newstead Village </w:t>
      </w:r>
      <w:r w:rsidRPr="009E7D78">
        <w:rPr>
          <w:color w:val="000000"/>
          <w:sz w:val="23"/>
          <w:szCs w:val="23"/>
        </w:rPr>
        <w:t>as delineated and</w:t>
      </w:r>
      <w:r>
        <w:rPr>
          <w:color w:val="000000"/>
          <w:sz w:val="23"/>
          <w:szCs w:val="23"/>
        </w:rPr>
        <w:t xml:space="preserve"> edged red on the map at annexes A</w:t>
      </w:r>
      <w:proofErr w:type="gramStart"/>
      <w:r>
        <w:rPr>
          <w:color w:val="000000"/>
          <w:sz w:val="23"/>
          <w:szCs w:val="23"/>
        </w:rPr>
        <w:t>,B,C</w:t>
      </w:r>
      <w:proofErr w:type="gramEnd"/>
      <w:r>
        <w:rPr>
          <w:color w:val="000000"/>
          <w:sz w:val="23"/>
          <w:szCs w:val="23"/>
        </w:rPr>
        <w:t xml:space="preserve"> and D</w:t>
      </w:r>
      <w:r w:rsidRPr="009E7D78">
        <w:rPr>
          <w:color w:val="000000"/>
          <w:sz w:val="23"/>
          <w:szCs w:val="23"/>
        </w:rPr>
        <w:t xml:space="preserve">. </w:t>
      </w:r>
    </w:p>
    <w:p w:rsidR="00761EC9" w:rsidRPr="009E7D78" w:rsidRDefault="00761EC9" w:rsidP="00761EC9">
      <w:pPr>
        <w:pStyle w:val="3Level2subhead"/>
        <w:spacing w:before="100" w:after="160"/>
        <w:rPr>
          <w:color w:val="000000"/>
          <w:sz w:val="30"/>
          <w:szCs w:val="30"/>
        </w:rPr>
      </w:pPr>
      <w:r w:rsidRPr="009E7D78">
        <w:rPr>
          <w:color w:val="000000"/>
          <w:sz w:val="30"/>
          <w:szCs w:val="30"/>
        </w:rPr>
        <w:t xml:space="preserve">APPLICATION OF THE DESIGNATION </w:t>
      </w:r>
    </w:p>
    <w:p w:rsidR="00761EC9" w:rsidRPr="009E7D78" w:rsidRDefault="00761EC9" w:rsidP="00761EC9">
      <w:pPr>
        <w:pStyle w:val="StyleNoParagraphStyleITCGaramondStd-LtAfter14pt"/>
        <w:spacing w:after="280"/>
        <w:rPr>
          <w:color w:val="000000"/>
          <w:sz w:val="23"/>
          <w:szCs w:val="23"/>
        </w:rPr>
      </w:pPr>
      <w:r w:rsidRPr="009E7D78">
        <w:rPr>
          <w:color w:val="000000"/>
          <w:sz w:val="23"/>
          <w:szCs w:val="23"/>
        </w:rPr>
        <w:t>5. This designation applies to any house</w:t>
      </w:r>
      <w:r>
        <w:rPr>
          <w:color w:val="000000"/>
          <w:sz w:val="23"/>
          <w:szCs w:val="23"/>
        </w:rPr>
        <w:t xml:space="preserve"> as defined by the Act</w:t>
      </w:r>
      <w:r w:rsidRPr="009E7D78">
        <w:rPr>
          <w:color w:val="000000"/>
          <w:sz w:val="16"/>
          <w:szCs w:val="16"/>
        </w:rPr>
        <w:t xml:space="preserve"> </w:t>
      </w:r>
      <w:r w:rsidRPr="009E7D78">
        <w:rPr>
          <w:color w:val="000000"/>
          <w:sz w:val="23"/>
          <w:szCs w:val="23"/>
        </w:rPr>
        <w:t xml:space="preserve">which is let or occupied under a tenancy or licence within the area described in </w:t>
      </w:r>
      <w:r>
        <w:rPr>
          <w:color w:val="000000"/>
          <w:sz w:val="23"/>
          <w:szCs w:val="23"/>
        </w:rPr>
        <w:t xml:space="preserve">paragraph 4 unless- </w:t>
      </w:r>
      <w:r w:rsidRPr="009E7D78">
        <w:rPr>
          <w:color w:val="000000"/>
          <w:sz w:val="23"/>
          <w:szCs w:val="23"/>
        </w:rPr>
        <w:t xml:space="preserve"> </w:t>
      </w:r>
    </w:p>
    <w:p w:rsidR="00761EC9" w:rsidRPr="009E7D78" w:rsidRDefault="00761EC9" w:rsidP="00761EC9">
      <w:pPr>
        <w:pStyle w:val="Default"/>
        <w:spacing w:after="280"/>
        <w:ind w:left="440" w:hanging="440"/>
        <w:rPr>
          <w:sz w:val="23"/>
          <w:szCs w:val="23"/>
        </w:rPr>
      </w:pPr>
      <w:r w:rsidRPr="009E7D78">
        <w:rPr>
          <w:sz w:val="23"/>
          <w:szCs w:val="23"/>
        </w:rPr>
        <w:t xml:space="preserve">(a) </w:t>
      </w:r>
      <w:proofErr w:type="gramStart"/>
      <w:r w:rsidRPr="009E7D78">
        <w:rPr>
          <w:sz w:val="23"/>
          <w:szCs w:val="23"/>
        </w:rPr>
        <w:t>the</w:t>
      </w:r>
      <w:proofErr w:type="gramEnd"/>
      <w:r w:rsidRPr="009E7D78">
        <w:rPr>
          <w:sz w:val="23"/>
          <w:szCs w:val="23"/>
        </w:rPr>
        <w:t xml:space="preserve"> house is a house in multiple occupation and is required to be licensed under Part 2 of the Act; </w:t>
      </w:r>
    </w:p>
    <w:p w:rsidR="00761EC9" w:rsidRPr="009E7D78" w:rsidRDefault="00761EC9" w:rsidP="00761EC9">
      <w:pPr>
        <w:rPr>
          <w:rFonts w:ascii="Arial" w:hAnsi="Arial" w:cs="Arial"/>
          <w:color w:val="000000"/>
          <w:sz w:val="23"/>
          <w:szCs w:val="23"/>
        </w:rPr>
      </w:pPr>
      <w:r w:rsidRPr="009E7D78">
        <w:rPr>
          <w:rFonts w:ascii="Arial" w:hAnsi="Arial" w:cs="Arial"/>
          <w:color w:val="000000"/>
          <w:sz w:val="23"/>
          <w:szCs w:val="23"/>
        </w:rPr>
        <w:t xml:space="preserve">(b) </w:t>
      </w:r>
      <w:proofErr w:type="gramStart"/>
      <w:r w:rsidRPr="009E7D78">
        <w:rPr>
          <w:rFonts w:ascii="Arial" w:hAnsi="Arial" w:cs="Arial"/>
          <w:color w:val="000000"/>
          <w:sz w:val="23"/>
          <w:szCs w:val="23"/>
        </w:rPr>
        <w:t>the</w:t>
      </w:r>
      <w:proofErr w:type="gramEnd"/>
      <w:r w:rsidRPr="009E7D78">
        <w:rPr>
          <w:rFonts w:ascii="Arial" w:hAnsi="Arial" w:cs="Arial"/>
          <w:color w:val="000000"/>
          <w:sz w:val="23"/>
          <w:szCs w:val="23"/>
        </w:rPr>
        <w:t xml:space="preserve"> tenancy or licence of the house has been granted by a registered social landlord;</w:t>
      </w:r>
    </w:p>
    <w:p w:rsidR="00761EC9" w:rsidRPr="009E7D78" w:rsidRDefault="00761EC9" w:rsidP="00761EC9">
      <w:pPr>
        <w:pStyle w:val="StyleNoParagraphStyleITCGaramondStd-LtAfter14pt"/>
        <w:spacing w:after="280"/>
        <w:rPr>
          <w:color w:val="000000"/>
          <w:sz w:val="23"/>
          <w:szCs w:val="23"/>
        </w:rPr>
      </w:pPr>
      <w:r w:rsidRPr="009E7D78">
        <w:rPr>
          <w:color w:val="000000"/>
          <w:sz w:val="23"/>
          <w:szCs w:val="23"/>
        </w:rPr>
        <w:t xml:space="preserve">(c) </w:t>
      </w:r>
      <w:proofErr w:type="gramStart"/>
      <w:r w:rsidRPr="009E7D78">
        <w:rPr>
          <w:color w:val="000000"/>
          <w:sz w:val="23"/>
          <w:szCs w:val="23"/>
        </w:rPr>
        <w:t>the</w:t>
      </w:r>
      <w:proofErr w:type="gramEnd"/>
      <w:r w:rsidRPr="009E7D78">
        <w:rPr>
          <w:color w:val="000000"/>
          <w:sz w:val="23"/>
          <w:szCs w:val="23"/>
        </w:rPr>
        <w:t xml:space="preserve"> house is subject to an Interim or Final Management Order under Part 4 of the Act; </w:t>
      </w:r>
    </w:p>
    <w:p w:rsidR="00761EC9" w:rsidRPr="009E7D78" w:rsidRDefault="00761EC9" w:rsidP="00761EC9">
      <w:pPr>
        <w:pStyle w:val="StyleNoParagraphStyleITCGaramondStd-LtAfter14pt"/>
        <w:spacing w:after="280"/>
        <w:rPr>
          <w:color w:val="000000"/>
          <w:sz w:val="23"/>
          <w:szCs w:val="23"/>
        </w:rPr>
      </w:pPr>
      <w:r w:rsidRPr="009E7D78">
        <w:rPr>
          <w:color w:val="000000"/>
          <w:sz w:val="23"/>
          <w:szCs w:val="23"/>
        </w:rPr>
        <w:t xml:space="preserve">(d) </w:t>
      </w:r>
      <w:proofErr w:type="gramStart"/>
      <w:r w:rsidRPr="009E7D78">
        <w:rPr>
          <w:color w:val="000000"/>
          <w:sz w:val="23"/>
          <w:szCs w:val="23"/>
        </w:rPr>
        <w:t>the</w:t>
      </w:r>
      <w:proofErr w:type="gramEnd"/>
      <w:r w:rsidRPr="009E7D78">
        <w:rPr>
          <w:color w:val="000000"/>
          <w:sz w:val="23"/>
          <w:szCs w:val="23"/>
        </w:rPr>
        <w:t xml:space="preserve"> house is subject to a temporary exemption under section 86 of the Act; or </w:t>
      </w:r>
    </w:p>
    <w:p w:rsidR="00761EC9" w:rsidRPr="009E7D78" w:rsidRDefault="00761EC9" w:rsidP="00761EC9">
      <w:pPr>
        <w:pStyle w:val="StyleNoParagraphStyleITCGaramondStd-LtAfter14pt"/>
        <w:spacing w:after="280"/>
        <w:rPr>
          <w:color w:val="000000"/>
          <w:sz w:val="23"/>
          <w:szCs w:val="23"/>
        </w:rPr>
      </w:pPr>
      <w:r w:rsidRPr="009E7D78">
        <w:rPr>
          <w:color w:val="000000"/>
          <w:sz w:val="23"/>
          <w:szCs w:val="23"/>
        </w:rPr>
        <w:t xml:space="preserve">(e) </w:t>
      </w:r>
      <w:proofErr w:type="gramStart"/>
      <w:r w:rsidRPr="009E7D78">
        <w:rPr>
          <w:color w:val="000000"/>
          <w:sz w:val="23"/>
          <w:szCs w:val="23"/>
        </w:rPr>
        <w:t>the</w:t>
      </w:r>
      <w:proofErr w:type="gramEnd"/>
      <w:r w:rsidRPr="009E7D78">
        <w:rPr>
          <w:color w:val="000000"/>
          <w:sz w:val="23"/>
          <w:szCs w:val="23"/>
        </w:rPr>
        <w:t xml:space="preserve"> house is occupied under a tenancy or licence which is exempt under the Act</w:t>
      </w:r>
      <w:r w:rsidRPr="009E7D78">
        <w:rPr>
          <w:color w:val="000000"/>
          <w:sz w:val="16"/>
          <w:szCs w:val="16"/>
        </w:rPr>
        <w:t xml:space="preserve"> </w:t>
      </w:r>
      <w:r w:rsidRPr="009E7D78">
        <w:rPr>
          <w:color w:val="000000"/>
          <w:sz w:val="23"/>
          <w:szCs w:val="23"/>
        </w:rPr>
        <w:t xml:space="preserve">or the occupation is of a building or part of a building so exempt as defined in annex b; </w:t>
      </w:r>
    </w:p>
    <w:p w:rsidR="00761EC9" w:rsidRPr="009E7D78" w:rsidRDefault="00761EC9" w:rsidP="00761EC9">
      <w:pPr>
        <w:pStyle w:val="4Level3subhead"/>
        <w:spacing w:before="100" w:after="160"/>
        <w:rPr>
          <w:color w:val="000000"/>
          <w:sz w:val="28"/>
          <w:szCs w:val="28"/>
        </w:rPr>
      </w:pPr>
      <w:r w:rsidRPr="009E7D78">
        <w:rPr>
          <w:color w:val="000000"/>
          <w:sz w:val="28"/>
          <w:szCs w:val="28"/>
        </w:rPr>
        <w:t xml:space="preserve">EFFECT OF THE DESIGNATION </w:t>
      </w:r>
    </w:p>
    <w:p w:rsidR="00761EC9" w:rsidRPr="009E7D78" w:rsidRDefault="00761EC9" w:rsidP="00761EC9">
      <w:pPr>
        <w:pStyle w:val="StyleNoParagraphStyleITCGaramondStd-LtAfter14pt"/>
        <w:spacing w:after="280"/>
        <w:rPr>
          <w:color w:val="000000"/>
          <w:sz w:val="16"/>
          <w:szCs w:val="16"/>
        </w:rPr>
      </w:pPr>
      <w:r w:rsidRPr="009E7D78">
        <w:rPr>
          <w:color w:val="000000"/>
          <w:sz w:val="23"/>
          <w:szCs w:val="23"/>
        </w:rPr>
        <w:t>6. Subject to sub paragraphs 5(a) to (e) every house in the area specified in paragraph 4 that is occupied under a tenancy or licence shall be required to be licensed under section 85 of the Act.</w:t>
      </w:r>
      <w:r w:rsidRPr="009E7D78">
        <w:rPr>
          <w:color w:val="000000"/>
          <w:sz w:val="16"/>
          <w:szCs w:val="16"/>
        </w:rPr>
        <w:t xml:space="preserve"> </w:t>
      </w:r>
    </w:p>
    <w:p w:rsidR="00761EC9" w:rsidRPr="009E7D78" w:rsidRDefault="00761EC9" w:rsidP="00761EC9">
      <w:pPr>
        <w:pStyle w:val="StyleNoParagraphStyleITCGaramondStd-LtAfter14pt"/>
        <w:spacing w:after="280"/>
        <w:rPr>
          <w:color w:val="000000"/>
          <w:sz w:val="16"/>
          <w:szCs w:val="16"/>
        </w:rPr>
      </w:pPr>
      <w:r>
        <w:rPr>
          <w:color w:val="000000"/>
          <w:sz w:val="23"/>
          <w:szCs w:val="23"/>
        </w:rPr>
        <w:t xml:space="preserve">7. Gedling Borough </w:t>
      </w:r>
      <w:r w:rsidRPr="009E7D78">
        <w:rPr>
          <w:color w:val="000000"/>
          <w:sz w:val="23"/>
          <w:szCs w:val="23"/>
        </w:rPr>
        <w:t>Council will comply with the notification requirements contained in section 83 of the Act and shall maintain a register of all houses registered under this designation, as required under section 232 of the Act.</w:t>
      </w:r>
      <w:r w:rsidRPr="009E7D78">
        <w:rPr>
          <w:color w:val="000000"/>
          <w:sz w:val="16"/>
          <w:szCs w:val="16"/>
        </w:rPr>
        <w:t xml:space="preserve"> </w:t>
      </w:r>
    </w:p>
    <w:p w:rsidR="00761EC9" w:rsidRPr="009E7D78" w:rsidRDefault="00761EC9" w:rsidP="00761EC9">
      <w:pPr>
        <w:pStyle w:val="NoParagraphStyle1"/>
        <w:spacing w:after="340"/>
        <w:ind w:left="560"/>
        <w:rPr>
          <w:color w:val="000000"/>
          <w:sz w:val="23"/>
          <w:szCs w:val="23"/>
        </w:rPr>
      </w:pPr>
      <w:r w:rsidRPr="009E7D78">
        <w:rPr>
          <w:color w:val="000000"/>
          <w:sz w:val="23"/>
          <w:szCs w:val="23"/>
        </w:rPr>
        <w:t xml:space="preserve">Date and authentication by the Council. </w:t>
      </w:r>
      <w:r w:rsidR="00CB7FB3">
        <w:rPr>
          <w:b/>
          <w:bCs/>
          <w:iCs/>
          <w:color w:val="000000"/>
          <w:sz w:val="23"/>
          <w:szCs w:val="23"/>
        </w:rPr>
        <w:t>6</w:t>
      </w:r>
      <w:r w:rsidRPr="009E7D78">
        <w:rPr>
          <w:b/>
          <w:bCs/>
          <w:iCs/>
          <w:color w:val="000000"/>
          <w:sz w:val="23"/>
          <w:szCs w:val="23"/>
          <w:vertAlign w:val="superscript"/>
        </w:rPr>
        <w:t>th</w:t>
      </w:r>
      <w:r>
        <w:rPr>
          <w:b/>
          <w:bCs/>
          <w:iCs/>
          <w:color w:val="000000"/>
          <w:sz w:val="23"/>
          <w:szCs w:val="23"/>
        </w:rPr>
        <w:t xml:space="preserve"> July 2022</w:t>
      </w:r>
    </w:p>
    <w:p w:rsidR="00761EC9" w:rsidRDefault="00761EC9">
      <w:pPr>
        <w:rPr>
          <w:rFonts w:ascii="Arial" w:hAnsi="Arial" w:cs="Arial"/>
          <w:sz w:val="24"/>
          <w:szCs w:val="24"/>
          <w:u w:val="single"/>
        </w:rPr>
      </w:pPr>
    </w:p>
    <w:p w:rsidR="00761EC9" w:rsidRDefault="00761EC9">
      <w:pPr>
        <w:rPr>
          <w:rFonts w:ascii="Arial" w:hAnsi="Arial" w:cs="Arial"/>
          <w:sz w:val="24"/>
          <w:szCs w:val="24"/>
          <w:u w:val="single"/>
        </w:rPr>
      </w:pPr>
    </w:p>
    <w:p w:rsidR="00F10110" w:rsidRPr="00761EC9" w:rsidRDefault="00761EC9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A</w:t>
      </w:r>
      <w:r w:rsidRPr="000A186D">
        <w:rPr>
          <w:rFonts w:ascii="Arial" w:hAnsi="Arial" w:cs="Arial"/>
          <w:b/>
          <w:sz w:val="32"/>
          <w:szCs w:val="32"/>
          <w:u w:val="single"/>
        </w:rPr>
        <w:t>nnex A – Designated area for Se</w:t>
      </w:r>
      <w:r>
        <w:rPr>
          <w:rFonts w:ascii="Arial" w:hAnsi="Arial" w:cs="Arial"/>
          <w:b/>
          <w:sz w:val="32"/>
          <w:szCs w:val="32"/>
          <w:u w:val="single"/>
        </w:rPr>
        <w:t>lective Licensing – Carlton Hill 2022</w:t>
      </w:r>
    </w:p>
    <w:p w:rsidR="00F10110" w:rsidRDefault="004E77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D769F18" wp14:editId="4AC24811">
            <wp:extent cx="6645910" cy="3866021"/>
            <wp:effectExtent l="0" t="0" r="2540" b="1270"/>
            <wp:docPr id="2" name="Picture 2" descr="Map of Carlton Hill Ward with prescribed designation area highlighted" title="Map of Carlton Hill 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ltonhill proposed area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110" w:rsidRDefault="00F10110">
      <w:pPr>
        <w:rPr>
          <w:rFonts w:ascii="Arial" w:hAnsi="Arial" w:cs="Arial"/>
          <w:sz w:val="24"/>
          <w:szCs w:val="24"/>
        </w:rPr>
      </w:pPr>
    </w:p>
    <w:p w:rsidR="00F10110" w:rsidRDefault="00F1011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761EC9" w:rsidRDefault="00761EC9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Annex B</w:t>
      </w:r>
      <w:r w:rsidRPr="000A186D">
        <w:rPr>
          <w:rFonts w:ascii="Arial" w:hAnsi="Arial" w:cs="Arial"/>
          <w:b/>
          <w:sz w:val="32"/>
          <w:szCs w:val="32"/>
          <w:u w:val="single"/>
        </w:rPr>
        <w:t xml:space="preserve"> – Designated area for S</w:t>
      </w:r>
      <w:r>
        <w:rPr>
          <w:rFonts w:ascii="Arial" w:hAnsi="Arial" w:cs="Arial"/>
          <w:b/>
          <w:sz w:val="32"/>
          <w:szCs w:val="32"/>
          <w:u w:val="single"/>
        </w:rPr>
        <w:t xml:space="preserve">elective Licensing –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Colwick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2022</w:t>
      </w:r>
    </w:p>
    <w:p w:rsidR="004E7750" w:rsidRDefault="004E77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6744598" cy="3923763"/>
            <wp:effectExtent l="0" t="0" r="0" b="635"/>
            <wp:docPr id="3" name="Picture 3" descr="Map of Colwick Ward with prescribed designation area highlighted" title="Map of Colwick 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wick proposed area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895" cy="392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C9" w:rsidRDefault="00761EC9">
      <w:pPr>
        <w:rPr>
          <w:rFonts w:ascii="Arial" w:hAnsi="Arial" w:cs="Arial"/>
          <w:sz w:val="24"/>
          <w:szCs w:val="24"/>
          <w:u w:val="single"/>
        </w:rPr>
      </w:pPr>
    </w:p>
    <w:p w:rsidR="00761EC9" w:rsidRDefault="00761EC9">
      <w:pPr>
        <w:rPr>
          <w:rFonts w:ascii="Arial" w:hAnsi="Arial" w:cs="Arial"/>
          <w:sz w:val="24"/>
          <w:szCs w:val="24"/>
          <w:u w:val="single"/>
        </w:rPr>
      </w:pPr>
    </w:p>
    <w:p w:rsidR="00761EC9" w:rsidRDefault="00761EC9">
      <w:pPr>
        <w:rPr>
          <w:rFonts w:ascii="Arial" w:hAnsi="Arial" w:cs="Arial"/>
          <w:sz w:val="24"/>
          <w:szCs w:val="24"/>
          <w:u w:val="single"/>
        </w:rPr>
      </w:pPr>
    </w:p>
    <w:p w:rsidR="00761EC9" w:rsidRDefault="00761EC9">
      <w:pPr>
        <w:rPr>
          <w:rFonts w:ascii="Arial" w:hAnsi="Arial" w:cs="Arial"/>
          <w:sz w:val="24"/>
          <w:szCs w:val="24"/>
          <w:u w:val="single"/>
        </w:rPr>
      </w:pPr>
    </w:p>
    <w:p w:rsidR="00761EC9" w:rsidRDefault="00761EC9">
      <w:pPr>
        <w:rPr>
          <w:rFonts w:ascii="Arial" w:hAnsi="Arial" w:cs="Arial"/>
          <w:sz w:val="24"/>
          <w:szCs w:val="24"/>
          <w:u w:val="single"/>
        </w:rPr>
      </w:pPr>
    </w:p>
    <w:p w:rsidR="00761EC9" w:rsidRDefault="00761EC9">
      <w:pPr>
        <w:rPr>
          <w:rFonts w:ascii="Arial" w:hAnsi="Arial" w:cs="Arial"/>
          <w:sz w:val="24"/>
          <w:szCs w:val="24"/>
          <w:u w:val="single"/>
        </w:rPr>
      </w:pPr>
    </w:p>
    <w:p w:rsidR="00761EC9" w:rsidRDefault="00761EC9">
      <w:pPr>
        <w:rPr>
          <w:rFonts w:ascii="Arial" w:hAnsi="Arial" w:cs="Arial"/>
          <w:sz w:val="24"/>
          <w:szCs w:val="24"/>
          <w:u w:val="single"/>
        </w:rPr>
      </w:pPr>
    </w:p>
    <w:p w:rsidR="00761EC9" w:rsidRDefault="00761EC9">
      <w:pPr>
        <w:rPr>
          <w:rFonts w:ascii="Arial" w:hAnsi="Arial" w:cs="Arial"/>
          <w:sz w:val="24"/>
          <w:szCs w:val="24"/>
          <w:u w:val="single"/>
        </w:rPr>
      </w:pPr>
    </w:p>
    <w:p w:rsidR="00761EC9" w:rsidRDefault="00761EC9">
      <w:pPr>
        <w:rPr>
          <w:rFonts w:ascii="Arial" w:hAnsi="Arial" w:cs="Arial"/>
          <w:sz w:val="24"/>
          <w:szCs w:val="24"/>
          <w:u w:val="single"/>
        </w:rPr>
      </w:pPr>
    </w:p>
    <w:p w:rsidR="00761EC9" w:rsidRDefault="00761EC9">
      <w:pPr>
        <w:rPr>
          <w:rFonts w:ascii="Arial" w:hAnsi="Arial" w:cs="Arial"/>
          <w:sz w:val="24"/>
          <w:szCs w:val="24"/>
          <w:u w:val="single"/>
        </w:rPr>
      </w:pPr>
    </w:p>
    <w:p w:rsidR="00761EC9" w:rsidRDefault="00761EC9">
      <w:pPr>
        <w:rPr>
          <w:rFonts w:ascii="Arial" w:hAnsi="Arial" w:cs="Arial"/>
          <w:sz w:val="24"/>
          <w:szCs w:val="24"/>
          <w:u w:val="single"/>
        </w:rPr>
      </w:pPr>
    </w:p>
    <w:p w:rsidR="00761EC9" w:rsidRDefault="00761EC9">
      <w:pPr>
        <w:rPr>
          <w:rFonts w:ascii="Arial" w:hAnsi="Arial" w:cs="Arial"/>
          <w:sz w:val="24"/>
          <w:szCs w:val="24"/>
          <w:u w:val="single"/>
        </w:rPr>
      </w:pPr>
    </w:p>
    <w:p w:rsidR="00761EC9" w:rsidRDefault="00761EC9">
      <w:pPr>
        <w:rPr>
          <w:rFonts w:ascii="Arial" w:hAnsi="Arial" w:cs="Arial"/>
          <w:sz w:val="24"/>
          <w:szCs w:val="24"/>
          <w:u w:val="single"/>
        </w:rPr>
      </w:pPr>
    </w:p>
    <w:p w:rsidR="00761EC9" w:rsidRDefault="00761EC9">
      <w:pPr>
        <w:rPr>
          <w:rFonts w:ascii="Arial" w:hAnsi="Arial" w:cs="Arial"/>
          <w:sz w:val="24"/>
          <w:szCs w:val="24"/>
          <w:u w:val="single"/>
        </w:rPr>
      </w:pPr>
    </w:p>
    <w:p w:rsidR="00761EC9" w:rsidRDefault="00761EC9">
      <w:pPr>
        <w:rPr>
          <w:rFonts w:ascii="Arial" w:hAnsi="Arial" w:cs="Arial"/>
          <w:sz w:val="24"/>
          <w:szCs w:val="24"/>
          <w:u w:val="single"/>
        </w:rPr>
      </w:pPr>
    </w:p>
    <w:p w:rsidR="00761EC9" w:rsidRDefault="00761EC9">
      <w:pPr>
        <w:rPr>
          <w:rFonts w:ascii="Arial" w:hAnsi="Arial" w:cs="Arial"/>
          <w:sz w:val="24"/>
          <w:szCs w:val="24"/>
          <w:u w:val="single"/>
        </w:rPr>
      </w:pPr>
    </w:p>
    <w:p w:rsidR="00F10110" w:rsidRPr="004E7750" w:rsidRDefault="00761EC9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Annex C</w:t>
      </w:r>
      <w:r w:rsidRPr="000A186D">
        <w:rPr>
          <w:rFonts w:ascii="Arial" w:hAnsi="Arial" w:cs="Arial"/>
          <w:b/>
          <w:sz w:val="32"/>
          <w:szCs w:val="32"/>
          <w:u w:val="single"/>
        </w:rPr>
        <w:t xml:space="preserve"> – Designated area for Selective L</w:t>
      </w:r>
      <w:r>
        <w:rPr>
          <w:rFonts w:ascii="Arial" w:hAnsi="Arial" w:cs="Arial"/>
          <w:b/>
          <w:sz w:val="32"/>
          <w:szCs w:val="32"/>
          <w:u w:val="single"/>
        </w:rPr>
        <w:t xml:space="preserve">icensing –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Daybrook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2022</w:t>
      </w:r>
    </w:p>
    <w:p w:rsidR="004E7750" w:rsidRDefault="004E77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6796253" cy="3953814"/>
            <wp:effectExtent l="0" t="0" r="5080" b="8890"/>
            <wp:docPr id="4" name="Picture 4" descr="Map of Daybrook Ward with prescribed designation area highlighted" title="Map of Daybrook 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ybrook proposed area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593" cy="39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C9" w:rsidRDefault="00761EC9">
      <w:pPr>
        <w:rPr>
          <w:rFonts w:ascii="Arial" w:hAnsi="Arial" w:cs="Arial"/>
          <w:sz w:val="24"/>
          <w:szCs w:val="24"/>
        </w:rPr>
      </w:pPr>
    </w:p>
    <w:p w:rsidR="00761EC9" w:rsidRDefault="00761EC9">
      <w:pPr>
        <w:rPr>
          <w:rFonts w:ascii="Arial" w:hAnsi="Arial" w:cs="Arial"/>
          <w:sz w:val="24"/>
          <w:szCs w:val="24"/>
        </w:rPr>
      </w:pPr>
    </w:p>
    <w:p w:rsidR="00761EC9" w:rsidRDefault="00761EC9">
      <w:pPr>
        <w:rPr>
          <w:rFonts w:ascii="Arial" w:hAnsi="Arial" w:cs="Arial"/>
          <w:sz w:val="24"/>
          <w:szCs w:val="24"/>
        </w:rPr>
      </w:pPr>
    </w:p>
    <w:p w:rsidR="00761EC9" w:rsidRDefault="00761EC9">
      <w:pPr>
        <w:rPr>
          <w:rFonts w:ascii="Arial" w:hAnsi="Arial" w:cs="Arial"/>
          <w:sz w:val="24"/>
          <w:szCs w:val="24"/>
        </w:rPr>
      </w:pPr>
    </w:p>
    <w:p w:rsidR="00761EC9" w:rsidRDefault="00761EC9">
      <w:pPr>
        <w:rPr>
          <w:rFonts w:ascii="Arial" w:hAnsi="Arial" w:cs="Arial"/>
          <w:sz w:val="24"/>
          <w:szCs w:val="24"/>
        </w:rPr>
      </w:pPr>
    </w:p>
    <w:p w:rsidR="00761EC9" w:rsidRDefault="00761EC9">
      <w:pPr>
        <w:rPr>
          <w:rFonts w:ascii="Arial" w:hAnsi="Arial" w:cs="Arial"/>
          <w:sz w:val="24"/>
          <w:szCs w:val="24"/>
        </w:rPr>
      </w:pPr>
    </w:p>
    <w:p w:rsidR="00761EC9" w:rsidRDefault="00761EC9">
      <w:pPr>
        <w:rPr>
          <w:rFonts w:ascii="Arial" w:hAnsi="Arial" w:cs="Arial"/>
          <w:sz w:val="24"/>
          <w:szCs w:val="24"/>
        </w:rPr>
      </w:pPr>
    </w:p>
    <w:p w:rsidR="00761EC9" w:rsidRDefault="00761EC9">
      <w:pPr>
        <w:rPr>
          <w:rFonts w:ascii="Arial" w:hAnsi="Arial" w:cs="Arial"/>
          <w:sz w:val="24"/>
          <w:szCs w:val="24"/>
        </w:rPr>
      </w:pPr>
    </w:p>
    <w:p w:rsidR="00761EC9" w:rsidRDefault="00761EC9">
      <w:pPr>
        <w:rPr>
          <w:rFonts w:ascii="Arial" w:hAnsi="Arial" w:cs="Arial"/>
          <w:sz w:val="24"/>
          <w:szCs w:val="24"/>
        </w:rPr>
      </w:pPr>
    </w:p>
    <w:p w:rsidR="00761EC9" w:rsidRDefault="00761EC9">
      <w:pPr>
        <w:rPr>
          <w:rFonts w:ascii="Arial" w:hAnsi="Arial" w:cs="Arial"/>
          <w:sz w:val="24"/>
          <w:szCs w:val="24"/>
        </w:rPr>
      </w:pPr>
    </w:p>
    <w:p w:rsidR="00761EC9" w:rsidRDefault="00761EC9">
      <w:pPr>
        <w:rPr>
          <w:rFonts w:ascii="Arial" w:hAnsi="Arial" w:cs="Arial"/>
          <w:sz w:val="24"/>
          <w:szCs w:val="24"/>
        </w:rPr>
      </w:pPr>
    </w:p>
    <w:p w:rsidR="00761EC9" w:rsidRDefault="00761EC9">
      <w:pPr>
        <w:rPr>
          <w:rFonts w:ascii="Arial" w:hAnsi="Arial" w:cs="Arial"/>
          <w:sz w:val="24"/>
          <w:szCs w:val="24"/>
        </w:rPr>
      </w:pPr>
    </w:p>
    <w:p w:rsidR="00761EC9" w:rsidRDefault="00761EC9">
      <w:pPr>
        <w:rPr>
          <w:rFonts w:ascii="Arial" w:hAnsi="Arial" w:cs="Arial"/>
          <w:sz w:val="24"/>
          <w:szCs w:val="24"/>
        </w:rPr>
      </w:pPr>
    </w:p>
    <w:p w:rsidR="00761EC9" w:rsidRDefault="00761EC9">
      <w:pPr>
        <w:rPr>
          <w:rFonts w:ascii="Arial" w:hAnsi="Arial" w:cs="Arial"/>
          <w:sz w:val="24"/>
          <w:szCs w:val="24"/>
        </w:rPr>
      </w:pPr>
    </w:p>
    <w:p w:rsidR="00761EC9" w:rsidRDefault="00761EC9">
      <w:pPr>
        <w:rPr>
          <w:rFonts w:ascii="Arial" w:hAnsi="Arial" w:cs="Arial"/>
          <w:sz w:val="24"/>
          <w:szCs w:val="24"/>
        </w:rPr>
      </w:pPr>
    </w:p>
    <w:p w:rsidR="00761EC9" w:rsidRDefault="00761EC9">
      <w:pPr>
        <w:rPr>
          <w:rFonts w:ascii="Arial" w:hAnsi="Arial" w:cs="Arial"/>
          <w:sz w:val="24"/>
          <w:szCs w:val="24"/>
        </w:rPr>
      </w:pPr>
    </w:p>
    <w:p w:rsidR="00F10110" w:rsidRPr="00761EC9" w:rsidRDefault="00761E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Annex D</w:t>
      </w:r>
      <w:r w:rsidRPr="000A186D">
        <w:rPr>
          <w:rFonts w:ascii="Arial" w:hAnsi="Arial" w:cs="Arial"/>
          <w:b/>
          <w:sz w:val="32"/>
          <w:szCs w:val="32"/>
          <w:u w:val="single"/>
        </w:rPr>
        <w:t xml:space="preserve"> – Designated area for Selective L</w:t>
      </w:r>
      <w:r>
        <w:rPr>
          <w:rFonts w:ascii="Arial" w:hAnsi="Arial" w:cs="Arial"/>
          <w:b/>
          <w:sz w:val="32"/>
          <w:szCs w:val="32"/>
          <w:u w:val="single"/>
        </w:rPr>
        <w:t>icensing – Newstead Village 2022</w:t>
      </w:r>
      <w:r w:rsidR="004E7750">
        <w:rPr>
          <w:rFonts w:ascii="Arial" w:hAnsi="Arial" w:cs="Arial"/>
          <w:sz w:val="24"/>
          <w:szCs w:val="24"/>
        </w:rPr>
        <w:tab/>
      </w:r>
      <w:r w:rsidR="004E7750">
        <w:rPr>
          <w:rFonts w:ascii="Arial" w:hAnsi="Arial" w:cs="Arial"/>
          <w:sz w:val="24"/>
          <w:szCs w:val="24"/>
        </w:rPr>
        <w:tab/>
      </w:r>
      <w:r w:rsidR="004E7750">
        <w:rPr>
          <w:rFonts w:ascii="Arial" w:hAnsi="Arial" w:cs="Arial"/>
          <w:sz w:val="24"/>
          <w:szCs w:val="24"/>
        </w:rPr>
        <w:tab/>
      </w:r>
      <w:r w:rsidR="004E7750">
        <w:rPr>
          <w:rFonts w:ascii="Arial" w:hAnsi="Arial" w:cs="Arial"/>
          <w:sz w:val="24"/>
          <w:szCs w:val="24"/>
        </w:rPr>
        <w:tab/>
      </w:r>
      <w:r w:rsidR="004E7750">
        <w:rPr>
          <w:rFonts w:ascii="Arial" w:hAnsi="Arial" w:cs="Arial"/>
          <w:sz w:val="24"/>
          <w:szCs w:val="24"/>
        </w:rPr>
        <w:tab/>
      </w:r>
      <w:r w:rsidR="004E7750">
        <w:rPr>
          <w:rFonts w:ascii="Arial" w:hAnsi="Arial" w:cs="Arial"/>
          <w:sz w:val="24"/>
          <w:szCs w:val="24"/>
        </w:rPr>
        <w:tab/>
      </w:r>
      <w:r w:rsidR="004E7750">
        <w:rPr>
          <w:rFonts w:ascii="Arial" w:hAnsi="Arial" w:cs="Arial"/>
          <w:sz w:val="24"/>
          <w:szCs w:val="24"/>
        </w:rPr>
        <w:tab/>
      </w:r>
      <w:r w:rsidR="004E7750">
        <w:rPr>
          <w:rFonts w:ascii="Arial" w:hAnsi="Arial" w:cs="Arial"/>
          <w:sz w:val="24"/>
          <w:szCs w:val="24"/>
        </w:rPr>
        <w:tab/>
      </w:r>
      <w:r w:rsidR="004E7750">
        <w:rPr>
          <w:rFonts w:ascii="Arial" w:hAnsi="Arial" w:cs="Arial"/>
          <w:sz w:val="24"/>
          <w:szCs w:val="24"/>
        </w:rPr>
        <w:tab/>
      </w:r>
      <w:r w:rsidR="004E7750">
        <w:rPr>
          <w:rFonts w:ascii="Arial" w:hAnsi="Arial" w:cs="Arial"/>
          <w:sz w:val="24"/>
          <w:szCs w:val="24"/>
        </w:rPr>
        <w:tab/>
      </w:r>
      <w:r w:rsidR="004E7750">
        <w:rPr>
          <w:rFonts w:ascii="Arial" w:hAnsi="Arial" w:cs="Arial"/>
          <w:sz w:val="24"/>
          <w:szCs w:val="24"/>
        </w:rPr>
        <w:tab/>
      </w:r>
      <w:r w:rsidR="004E7750">
        <w:rPr>
          <w:rFonts w:ascii="Arial" w:hAnsi="Arial" w:cs="Arial"/>
          <w:sz w:val="24"/>
          <w:szCs w:val="24"/>
        </w:rPr>
        <w:tab/>
      </w:r>
    </w:p>
    <w:p w:rsidR="004E7750" w:rsidRDefault="004E7750">
      <w:pPr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6744598" cy="3923763"/>
            <wp:effectExtent l="0" t="0" r="0" b="635"/>
            <wp:docPr id="5" name="Picture 5" descr="Map of Newstead Ward with prescribed designation area highlighted" title="Map of Newstead 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stead proposed area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039" cy="392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Default="004E7750">
      <w:pPr>
        <w:rPr>
          <w:rFonts w:ascii="Arial" w:hAnsi="Arial" w:cs="Arial"/>
          <w:sz w:val="24"/>
          <w:szCs w:val="24"/>
        </w:rPr>
      </w:pPr>
    </w:p>
    <w:p w:rsidR="004E7750" w:rsidRPr="00F10110" w:rsidRDefault="004E7750" w:rsidP="004E7750">
      <w:pPr>
        <w:ind w:left="7920" w:firstLine="720"/>
        <w:rPr>
          <w:rFonts w:ascii="Arial" w:hAnsi="Arial" w:cs="Arial"/>
          <w:sz w:val="24"/>
          <w:szCs w:val="24"/>
        </w:rPr>
      </w:pPr>
    </w:p>
    <w:sectPr w:rsidR="004E7750" w:rsidRPr="00F10110" w:rsidSect="004E7750">
      <w:footerReference w:type="default" r:id="rId11"/>
      <w:pgSz w:w="11906" w:h="16838"/>
      <w:pgMar w:top="720" w:right="720" w:bottom="720" w:left="720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2B1" w:rsidRDefault="007632B1" w:rsidP="004E7750">
      <w:pPr>
        <w:spacing w:after="0"/>
      </w:pPr>
      <w:r>
        <w:separator/>
      </w:r>
    </w:p>
  </w:endnote>
  <w:endnote w:type="continuationSeparator" w:id="0">
    <w:p w:rsidR="007632B1" w:rsidRDefault="007632B1" w:rsidP="004E775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750" w:rsidRDefault="004E7750">
    <w:pPr>
      <w:pStyle w:val="Footer"/>
    </w:pPr>
  </w:p>
  <w:p w:rsidR="004E7750" w:rsidRDefault="004E77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2B1" w:rsidRDefault="007632B1" w:rsidP="004E7750">
      <w:pPr>
        <w:spacing w:after="0"/>
      </w:pPr>
      <w:r>
        <w:separator/>
      </w:r>
    </w:p>
  </w:footnote>
  <w:footnote w:type="continuationSeparator" w:id="0">
    <w:p w:rsidR="007632B1" w:rsidRDefault="007632B1" w:rsidP="004E775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110"/>
    <w:rsid w:val="00090EF2"/>
    <w:rsid w:val="000A1F57"/>
    <w:rsid w:val="000C779D"/>
    <w:rsid w:val="000C788C"/>
    <w:rsid w:val="002B6601"/>
    <w:rsid w:val="003268E5"/>
    <w:rsid w:val="00343AFD"/>
    <w:rsid w:val="003A2F52"/>
    <w:rsid w:val="00421EBE"/>
    <w:rsid w:val="004447D5"/>
    <w:rsid w:val="004C1B3E"/>
    <w:rsid w:val="004D14E8"/>
    <w:rsid w:val="004E7750"/>
    <w:rsid w:val="00582AE9"/>
    <w:rsid w:val="00586928"/>
    <w:rsid w:val="0064078E"/>
    <w:rsid w:val="006F0278"/>
    <w:rsid w:val="00761EC9"/>
    <w:rsid w:val="007632B1"/>
    <w:rsid w:val="00775C72"/>
    <w:rsid w:val="008A36F5"/>
    <w:rsid w:val="008E2934"/>
    <w:rsid w:val="00907A06"/>
    <w:rsid w:val="00A57EFC"/>
    <w:rsid w:val="00A609C4"/>
    <w:rsid w:val="00AA4B33"/>
    <w:rsid w:val="00B531CC"/>
    <w:rsid w:val="00B705CA"/>
    <w:rsid w:val="00BB146F"/>
    <w:rsid w:val="00BF5332"/>
    <w:rsid w:val="00CB7FB3"/>
    <w:rsid w:val="00F10110"/>
    <w:rsid w:val="00F721D7"/>
    <w:rsid w:val="00FC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B27106-A8A9-4892-8ED3-A0A8EA327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6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775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E7750"/>
  </w:style>
  <w:style w:type="paragraph" w:styleId="Footer">
    <w:name w:val="footer"/>
    <w:basedOn w:val="Normal"/>
    <w:link w:val="FooterChar"/>
    <w:uiPriority w:val="99"/>
    <w:unhideWhenUsed/>
    <w:rsid w:val="004E775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E7750"/>
  </w:style>
  <w:style w:type="paragraph" w:customStyle="1" w:styleId="Default">
    <w:name w:val="Default"/>
    <w:rsid w:val="00761EC9"/>
    <w:pPr>
      <w:autoSpaceDE w:val="0"/>
      <w:autoSpaceDN w:val="0"/>
      <w:adjustRightInd w:val="0"/>
      <w:spacing w:after="0"/>
    </w:pPr>
    <w:rPr>
      <w:rFonts w:ascii="Arial" w:hAnsi="Arial" w:cs="Arial"/>
      <w:color w:val="000000"/>
      <w:sz w:val="24"/>
      <w:szCs w:val="24"/>
    </w:rPr>
  </w:style>
  <w:style w:type="paragraph" w:customStyle="1" w:styleId="NoParagraphStyle1">
    <w:name w:val="[No Paragraph Style]+1"/>
    <w:basedOn w:val="Default"/>
    <w:next w:val="Default"/>
    <w:uiPriority w:val="99"/>
    <w:rsid w:val="00761EC9"/>
    <w:rPr>
      <w:color w:val="auto"/>
    </w:rPr>
  </w:style>
  <w:style w:type="paragraph" w:customStyle="1" w:styleId="3Level2subhead">
    <w:name w:val="3• Level 2 subhead"/>
    <w:basedOn w:val="Default"/>
    <w:next w:val="Default"/>
    <w:uiPriority w:val="99"/>
    <w:rsid w:val="00761EC9"/>
    <w:rPr>
      <w:color w:val="auto"/>
    </w:rPr>
  </w:style>
  <w:style w:type="paragraph" w:customStyle="1" w:styleId="StyleNoParagraphStyleITCGaramondStd-LtAfter14pt">
    <w:name w:val="Style [No Paragraph Style] + ITCGaramondStd-Lt After:  14 pt"/>
    <w:basedOn w:val="Default"/>
    <w:next w:val="Default"/>
    <w:uiPriority w:val="99"/>
    <w:rsid w:val="00761EC9"/>
    <w:rPr>
      <w:color w:val="auto"/>
    </w:rPr>
  </w:style>
  <w:style w:type="paragraph" w:customStyle="1" w:styleId="4Level3subhead">
    <w:name w:val="4• Level 3 subhead"/>
    <w:basedOn w:val="Default"/>
    <w:next w:val="Default"/>
    <w:uiPriority w:val="99"/>
    <w:rsid w:val="00761EC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1D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272AB-EEDC-4591-AA8E-C88F9A88F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390</Words>
  <Characters>2229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Gedling Borough Council</Company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Palmer</dc:creator>
  <cp:keywords/>
  <dc:description/>
  <cp:lastModifiedBy>Tom Southam</cp:lastModifiedBy>
  <cp:revision>2</cp:revision>
  <cp:lastPrinted>2022-07-06T11:13:00Z</cp:lastPrinted>
  <dcterms:created xsi:type="dcterms:W3CDTF">2022-07-06T15:38:00Z</dcterms:created>
  <dcterms:modified xsi:type="dcterms:W3CDTF">2022-07-06T15:38:00Z</dcterms:modified>
</cp:coreProperties>
</file>